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1.Eva Marisaldi, Omissioni 1998 – 2018, post-it modificati su pannello di legno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Courtesy dell’artista e Galleria Massimo Minini, Brescia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2.Salvatore Emblema, Scatole trasparenti. Ricerca sul paesaggio 1969 – 74, fotografia a colori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Museo Emblema. Courtesy Emblema Estate e Galleria Fonti, Napoli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3.Marisa Albanese, Diariogrammi Cambogia 2017 – 2018, disegno, inchiostro e matita su carta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Courtesy gli eredi dell’artista e Studio Trisorio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4.Carmela De Falco, fino a dove il mio corpo riesce ad arrivare 2022, still da video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Courtesy dell’artista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5. Arrigo Lora Totino, D’age en age nuage 2002, libro d’artista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Collezione Casa Morra Archivi d’Arte Contemporanea, Napoli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thjC3xuM3t89yPABkUzf9vjxxA==">CgMxLjA4AHIhMTQ2QWVKaVd5QVE4WVF1ckpvM0EtY1BMUUJ3aEYyRkdx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2024-09-20T11:57:00Z</dcterms:created>
  <dc:creator>New-PC</dc:creator>
</cp:coreProperties>
</file>